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BBA" w14:textId="3C7D11B1" w:rsidR="00B96938" w:rsidRPr="00A5196D" w:rsidRDefault="0074451A" w:rsidP="00B96938">
      <w:pPr>
        <w:pStyle w:val="Title"/>
      </w:pPr>
      <w:r w:rsidRPr="000E0D75">
        <w:rPr>
          <w:color w:val="000000" w:themeColor="text1"/>
        </w:rPr>
        <w:t>Informal Observation Form</w:t>
      </w:r>
    </w:p>
    <w:p w14:paraId="50A5C029" w14:textId="53520997" w:rsidR="0074451A" w:rsidRDefault="0078432A" w:rsidP="0078432A">
      <w:r>
        <w:t>Mark the statement that best matches what you observe in the youth program session.</w:t>
      </w:r>
    </w:p>
    <w:p w14:paraId="3045577E" w14:textId="5212A64A" w:rsidR="00DF2D5D" w:rsidRDefault="00DF2D5D" w:rsidP="00DF2D5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432A" w:rsidRPr="0078432A" w14:paraId="5AB23838" w14:textId="77777777" w:rsidTr="00DA691B">
        <w:tc>
          <w:tcPr>
            <w:tcW w:w="2337" w:type="dxa"/>
          </w:tcPr>
          <w:p w14:paraId="3E52C633" w14:textId="463CF2EF" w:rsidR="0078432A" w:rsidRPr="0078432A" w:rsidRDefault="0078432A" w:rsidP="0078432A">
            <w:pPr>
              <w:spacing w:after="160" w:line="259" w:lineRule="auto"/>
            </w:pPr>
            <w:r w:rsidRPr="0078432A">
              <w:t>Young people do not have the chance to make plans for the project or activity</w:t>
            </w:r>
            <w:r>
              <w:t>.</w:t>
            </w:r>
          </w:p>
          <w:p w14:paraId="088A7237" w14:textId="77777777" w:rsidR="0078432A" w:rsidRPr="0078432A" w:rsidRDefault="0078432A" w:rsidP="0078432A">
            <w:pPr>
              <w:spacing w:after="160" w:line="259" w:lineRule="auto"/>
            </w:pPr>
          </w:p>
        </w:tc>
        <w:tc>
          <w:tcPr>
            <w:tcW w:w="2337" w:type="dxa"/>
          </w:tcPr>
          <w:p w14:paraId="424C59BC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Young people have at least one opportunity to provide suggestions.</w:t>
            </w:r>
          </w:p>
        </w:tc>
        <w:tc>
          <w:tcPr>
            <w:tcW w:w="2338" w:type="dxa"/>
          </w:tcPr>
          <w:p w14:paraId="061B4C27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Young people have many opportunities to provide suggestions.</w:t>
            </w:r>
          </w:p>
        </w:tc>
        <w:tc>
          <w:tcPr>
            <w:tcW w:w="2338" w:type="dxa"/>
          </w:tcPr>
          <w:p w14:paraId="60453940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Comments</w:t>
            </w:r>
          </w:p>
        </w:tc>
      </w:tr>
      <w:tr w:rsidR="0078432A" w:rsidRPr="0078432A" w14:paraId="7C2D124D" w14:textId="77777777" w:rsidTr="00DA691B">
        <w:tc>
          <w:tcPr>
            <w:tcW w:w="2337" w:type="dxa"/>
          </w:tcPr>
          <w:p w14:paraId="292287DD" w14:textId="77777777" w:rsidR="0078432A" w:rsidRDefault="0078432A" w:rsidP="0078432A">
            <w:pPr>
              <w:spacing w:after="160" w:line="259" w:lineRule="auto"/>
            </w:pPr>
            <w:r w:rsidRPr="0078432A">
              <w:t>There is no planning for activities; no planning strategies</w:t>
            </w:r>
            <w:r>
              <w:t xml:space="preserve"> (brainstorming, etc.) were observed</w:t>
            </w:r>
            <w:r w:rsidRPr="0078432A">
              <w:t>.</w:t>
            </w:r>
          </w:p>
          <w:p w14:paraId="0223B2BC" w14:textId="1D217F6F" w:rsidR="0078432A" w:rsidRPr="0078432A" w:rsidRDefault="0078432A" w:rsidP="0078432A">
            <w:pPr>
              <w:spacing w:after="160" w:line="259" w:lineRule="auto"/>
            </w:pPr>
          </w:p>
        </w:tc>
        <w:tc>
          <w:tcPr>
            <w:tcW w:w="2337" w:type="dxa"/>
          </w:tcPr>
          <w:p w14:paraId="2E8C8979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At least one planning strategy was observed.</w:t>
            </w:r>
          </w:p>
        </w:tc>
        <w:tc>
          <w:tcPr>
            <w:tcW w:w="2338" w:type="dxa"/>
          </w:tcPr>
          <w:p w14:paraId="138456C7" w14:textId="643695E6" w:rsidR="0078432A" w:rsidRPr="0078432A" w:rsidRDefault="0078432A" w:rsidP="0078432A">
            <w:pPr>
              <w:spacing w:after="160" w:line="259" w:lineRule="auto"/>
            </w:pPr>
            <w:proofErr w:type="gramStart"/>
            <w:r w:rsidRPr="0078432A">
              <w:t>In the course of</w:t>
            </w:r>
            <w:proofErr w:type="gramEnd"/>
            <w:r w:rsidRPr="0078432A">
              <w:t xml:space="preserve"> planning projects or activities, several planning strategies were used</w:t>
            </w:r>
            <w:r>
              <w:t>.</w:t>
            </w:r>
          </w:p>
        </w:tc>
        <w:tc>
          <w:tcPr>
            <w:tcW w:w="2338" w:type="dxa"/>
          </w:tcPr>
          <w:p w14:paraId="5701D3F4" w14:textId="56F081FD" w:rsidR="0078432A" w:rsidRPr="0078432A" w:rsidRDefault="0078432A" w:rsidP="0078432A">
            <w:pPr>
              <w:spacing w:after="160" w:line="259" w:lineRule="auto"/>
            </w:pPr>
          </w:p>
        </w:tc>
      </w:tr>
      <w:tr w:rsidR="0078432A" w:rsidRPr="0078432A" w14:paraId="53D9C653" w14:textId="77777777" w:rsidTr="00DA691B">
        <w:tc>
          <w:tcPr>
            <w:tcW w:w="2337" w:type="dxa"/>
          </w:tcPr>
          <w:p w14:paraId="68240BEE" w14:textId="63B79A87" w:rsidR="0078432A" w:rsidRPr="0078432A" w:rsidRDefault="0078432A" w:rsidP="0078432A">
            <w:pPr>
              <w:spacing w:after="160" w:line="259" w:lineRule="auto"/>
            </w:pPr>
            <w:r w:rsidRPr="0078432A">
              <w:t>The activities do not allow any choices for young people</w:t>
            </w:r>
            <w:r>
              <w:t>.</w:t>
            </w:r>
          </w:p>
        </w:tc>
        <w:tc>
          <w:tcPr>
            <w:tcW w:w="2337" w:type="dxa"/>
          </w:tcPr>
          <w:p w14:paraId="49EAA252" w14:textId="007C823C" w:rsidR="0078432A" w:rsidRPr="0078432A" w:rsidRDefault="0078432A" w:rsidP="0078432A">
            <w:pPr>
              <w:spacing w:after="160" w:line="259" w:lineRule="auto"/>
            </w:pPr>
            <w:r w:rsidRPr="0078432A">
              <w:t>Young people have an opportunity to make content or process choices; choices are presented by</w:t>
            </w:r>
            <w:r>
              <w:t xml:space="preserve"> the</w:t>
            </w:r>
            <w:r w:rsidRPr="0078432A">
              <w:t xml:space="preserve"> group leader. </w:t>
            </w:r>
          </w:p>
        </w:tc>
        <w:tc>
          <w:tcPr>
            <w:tcW w:w="2338" w:type="dxa"/>
          </w:tcPr>
          <w:p w14:paraId="4F37BC11" w14:textId="07DA2A3C" w:rsidR="0078432A" w:rsidRPr="0078432A" w:rsidRDefault="0078432A" w:rsidP="0078432A">
            <w:pPr>
              <w:spacing w:after="160" w:line="259" w:lineRule="auto"/>
            </w:pPr>
            <w:r w:rsidRPr="0078432A">
              <w:t>All young people have at least one open-ended content or process choice (e.g. choosing a topic within given subject matter)</w:t>
            </w:r>
            <w:r>
              <w:t>.</w:t>
            </w:r>
          </w:p>
        </w:tc>
        <w:tc>
          <w:tcPr>
            <w:tcW w:w="2338" w:type="dxa"/>
          </w:tcPr>
          <w:p w14:paraId="2836A80D" w14:textId="77777777" w:rsidR="0078432A" w:rsidRPr="0078432A" w:rsidRDefault="0078432A" w:rsidP="0078432A">
            <w:pPr>
              <w:spacing w:after="160" w:line="259" w:lineRule="auto"/>
            </w:pPr>
          </w:p>
        </w:tc>
      </w:tr>
      <w:tr w:rsidR="0078432A" w:rsidRPr="0078432A" w14:paraId="2E372CF6" w14:textId="77777777" w:rsidTr="00DA691B">
        <w:tc>
          <w:tcPr>
            <w:tcW w:w="2337" w:type="dxa"/>
          </w:tcPr>
          <w:p w14:paraId="649A428E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Young people do not have an opportunity to intentionally reflect about what they have done.</w:t>
            </w:r>
          </w:p>
          <w:p w14:paraId="0CF82AB7" w14:textId="77777777" w:rsidR="0078432A" w:rsidRPr="0078432A" w:rsidRDefault="0078432A" w:rsidP="0078432A">
            <w:pPr>
              <w:spacing w:after="160" w:line="259" w:lineRule="auto"/>
            </w:pPr>
          </w:p>
        </w:tc>
        <w:tc>
          <w:tcPr>
            <w:tcW w:w="2337" w:type="dxa"/>
          </w:tcPr>
          <w:p w14:paraId="278B5BE4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Some young people have an opportunity to reflect.</w:t>
            </w:r>
          </w:p>
        </w:tc>
        <w:tc>
          <w:tcPr>
            <w:tcW w:w="2338" w:type="dxa"/>
          </w:tcPr>
          <w:p w14:paraId="2850F027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All young people are engaged in reflecting intentionally about what they have done in group.</w:t>
            </w:r>
          </w:p>
        </w:tc>
        <w:tc>
          <w:tcPr>
            <w:tcW w:w="2338" w:type="dxa"/>
          </w:tcPr>
          <w:p w14:paraId="4419D618" w14:textId="77777777" w:rsidR="0078432A" w:rsidRPr="0078432A" w:rsidRDefault="0078432A" w:rsidP="0078432A">
            <w:pPr>
              <w:spacing w:after="160" w:line="259" w:lineRule="auto"/>
            </w:pPr>
          </w:p>
        </w:tc>
      </w:tr>
      <w:tr w:rsidR="0078432A" w:rsidRPr="0078432A" w14:paraId="2114CEAB" w14:textId="77777777" w:rsidTr="00DA691B">
        <w:tc>
          <w:tcPr>
            <w:tcW w:w="2337" w:type="dxa"/>
          </w:tcPr>
          <w:p w14:paraId="15C4B5D5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>Young people do not have an opportunity to present in or (co)facilitate the group activity.</w:t>
            </w:r>
          </w:p>
          <w:p w14:paraId="36806566" w14:textId="77777777" w:rsidR="0078432A" w:rsidRPr="0078432A" w:rsidRDefault="0078432A" w:rsidP="0078432A">
            <w:pPr>
              <w:spacing w:after="160" w:line="259" w:lineRule="auto"/>
            </w:pPr>
          </w:p>
        </w:tc>
        <w:tc>
          <w:tcPr>
            <w:tcW w:w="2337" w:type="dxa"/>
          </w:tcPr>
          <w:p w14:paraId="76BEDCA8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 xml:space="preserve">Some young people </w:t>
            </w:r>
            <w:proofErr w:type="gramStart"/>
            <w:r w:rsidRPr="0078432A">
              <w:t>have the opportunity to</w:t>
            </w:r>
            <w:proofErr w:type="gramEnd"/>
            <w:r w:rsidRPr="0078432A">
              <w:t xml:space="preserve"> (co)facilitate or present.</w:t>
            </w:r>
          </w:p>
        </w:tc>
        <w:tc>
          <w:tcPr>
            <w:tcW w:w="2338" w:type="dxa"/>
          </w:tcPr>
          <w:p w14:paraId="13241ABC" w14:textId="77777777" w:rsidR="0078432A" w:rsidRPr="0078432A" w:rsidRDefault="0078432A" w:rsidP="0078432A">
            <w:pPr>
              <w:spacing w:after="160" w:line="259" w:lineRule="auto"/>
            </w:pPr>
            <w:r w:rsidRPr="0078432A">
              <w:t xml:space="preserve">All young people </w:t>
            </w:r>
            <w:proofErr w:type="gramStart"/>
            <w:r w:rsidRPr="0078432A">
              <w:t>have the opportunity to</w:t>
            </w:r>
            <w:proofErr w:type="gramEnd"/>
            <w:r w:rsidRPr="0078432A">
              <w:t xml:space="preserve"> (co)facilitate or present.</w:t>
            </w:r>
          </w:p>
        </w:tc>
        <w:tc>
          <w:tcPr>
            <w:tcW w:w="2338" w:type="dxa"/>
          </w:tcPr>
          <w:p w14:paraId="6B2261F4" w14:textId="77777777" w:rsidR="0078432A" w:rsidRPr="0078432A" w:rsidRDefault="0078432A" w:rsidP="0078432A">
            <w:pPr>
              <w:spacing w:after="160" w:line="259" w:lineRule="auto"/>
            </w:pPr>
          </w:p>
        </w:tc>
      </w:tr>
      <w:tr w:rsidR="0078432A" w:rsidRPr="0078432A" w14:paraId="2F3FB4AF" w14:textId="77777777" w:rsidTr="00DA691B">
        <w:tc>
          <w:tcPr>
            <w:tcW w:w="2337" w:type="dxa"/>
          </w:tcPr>
          <w:p w14:paraId="364947DE" w14:textId="3AEA9D58" w:rsidR="0078432A" w:rsidRPr="0078432A" w:rsidRDefault="0078432A" w:rsidP="0078432A">
            <w:pPr>
              <w:spacing w:after="160" w:line="259" w:lineRule="auto"/>
            </w:pPr>
            <w:r w:rsidRPr="0078432A">
              <w:t>Staff dismisse</w:t>
            </w:r>
            <w:r>
              <w:t>s</w:t>
            </w:r>
            <w:r w:rsidRPr="0078432A">
              <w:t xml:space="preserve"> feedback and suggestions from young people.</w:t>
            </w:r>
          </w:p>
        </w:tc>
        <w:tc>
          <w:tcPr>
            <w:tcW w:w="2337" w:type="dxa"/>
          </w:tcPr>
          <w:p w14:paraId="3456F002" w14:textId="1B0F260E" w:rsidR="0078432A" w:rsidRPr="0078432A" w:rsidRDefault="0078432A" w:rsidP="0078432A">
            <w:pPr>
              <w:spacing w:after="160" w:line="259" w:lineRule="auto"/>
            </w:pPr>
            <w:r w:rsidRPr="0078432A">
              <w:t xml:space="preserve">Staff accepts feedback and suggestions </w:t>
            </w:r>
            <w:r>
              <w:t>initiated by young people</w:t>
            </w:r>
            <w:r w:rsidRPr="0078432A">
              <w:t>.</w:t>
            </w:r>
          </w:p>
        </w:tc>
        <w:tc>
          <w:tcPr>
            <w:tcW w:w="2338" w:type="dxa"/>
          </w:tcPr>
          <w:p w14:paraId="064246D6" w14:textId="33420798" w:rsidR="0078432A" w:rsidRPr="0078432A" w:rsidRDefault="0078432A" w:rsidP="0078432A">
            <w:pPr>
              <w:spacing w:after="160" w:line="259" w:lineRule="auto"/>
            </w:pPr>
            <w:r w:rsidRPr="0078432A">
              <w:t>Staff uses an intentional</w:t>
            </w:r>
            <w:r>
              <w:t>,</w:t>
            </w:r>
            <w:r w:rsidRPr="0078432A">
              <w:t xml:space="preserve"> structured approach to gather feedback and suggestions</w:t>
            </w:r>
            <w:r>
              <w:t>.</w:t>
            </w:r>
          </w:p>
        </w:tc>
        <w:tc>
          <w:tcPr>
            <w:tcW w:w="2338" w:type="dxa"/>
          </w:tcPr>
          <w:p w14:paraId="37A42582" w14:textId="77777777" w:rsidR="0078432A" w:rsidRPr="0078432A" w:rsidRDefault="0078432A" w:rsidP="0078432A">
            <w:pPr>
              <w:spacing w:after="160" w:line="259" w:lineRule="auto"/>
            </w:pPr>
          </w:p>
        </w:tc>
      </w:tr>
    </w:tbl>
    <w:p w14:paraId="30823EB9" w14:textId="5E9FBCF4" w:rsidR="0078432A" w:rsidRPr="00B32EB0" w:rsidRDefault="00B32EB0" w:rsidP="00DF2D5D">
      <w:pPr>
        <w:rPr>
          <w:sz w:val="20"/>
          <w:szCs w:val="20"/>
        </w:rPr>
      </w:pPr>
      <w:r w:rsidRPr="00B32EB0">
        <w:rPr>
          <w:sz w:val="20"/>
          <w:szCs w:val="20"/>
        </w:rPr>
        <w:t xml:space="preserve">Adapted from: High/Scope Educational Research Foundation. </w:t>
      </w:r>
      <w:r>
        <w:rPr>
          <w:sz w:val="20"/>
          <w:szCs w:val="20"/>
        </w:rPr>
        <w:t>(</w:t>
      </w:r>
      <w:r w:rsidRPr="00B32EB0">
        <w:rPr>
          <w:sz w:val="20"/>
          <w:szCs w:val="20"/>
        </w:rPr>
        <w:t>2005</w:t>
      </w:r>
      <w:r>
        <w:rPr>
          <w:sz w:val="20"/>
          <w:szCs w:val="20"/>
        </w:rPr>
        <w:t>)</w:t>
      </w:r>
      <w:r w:rsidRPr="00B32EB0">
        <w:rPr>
          <w:sz w:val="20"/>
          <w:szCs w:val="20"/>
        </w:rPr>
        <w:t>. Youth Program Quality Assessment</w:t>
      </w:r>
    </w:p>
    <w:sectPr w:rsidR="0078432A" w:rsidRPr="00B32EB0" w:rsidSect="0078432A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6BB8" w14:textId="77777777" w:rsidR="00F975B5" w:rsidRDefault="00F975B5" w:rsidP="00AA1ED7">
      <w:r>
        <w:separator/>
      </w:r>
    </w:p>
  </w:endnote>
  <w:endnote w:type="continuationSeparator" w:id="0">
    <w:p w14:paraId="0E871456" w14:textId="77777777" w:rsidR="00F975B5" w:rsidRDefault="00F975B5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CB5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71D" wp14:editId="552D96A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EBB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36EB93B0" w14:textId="017876E5" w:rsidR="00AA1ED7" w:rsidRPr="00AA1ED7" w:rsidRDefault="006055BF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>Supervisor's PYD Toolkit</w:t>
    </w:r>
    <w:r w:rsidR="00AA1ED7" w:rsidRPr="00EC04AB">
      <w:rPr>
        <w:i/>
        <w:color w:val="595959" w:themeColor="text1" w:themeTint="A6"/>
        <w:sz w:val="20"/>
        <w:szCs w:val="20"/>
      </w:rPr>
      <w:t xml:space="preserve"> </w:t>
    </w:r>
    <w:r>
      <w:rPr>
        <w:i/>
        <w:color w:val="595959" w:themeColor="text1" w:themeTint="A6"/>
        <w:sz w:val="20"/>
        <w:szCs w:val="20"/>
      </w:rPr>
      <w:t>resource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="00567776" w:rsidRPr="004E395D">
        <w:rPr>
          <w:rStyle w:val="Hyperlink"/>
          <w:i/>
          <w:sz w:val="20"/>
          <w:szCs w:val="20"/>
        </w:rPr>
        <w:t>www.actforyouth.net/youth_development/professionals/supervisors</w:t>
      </w:r>
    </w:hyperlink>
    <w:r w:rsidR="00567776">
      <w:rPr>
        <w:i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B1E1" w14:textId="77777777" w:rsidR="00F975B5" w:rsidRDefault="00F975B5" w:rsidP="00AA1ED7">
      <w:r>
        <w:separator/>
      </w:r>
    </w:p>
  </w:footnote>
  <w:footnote w:type="continuationSeparator" w:id="0">
    <w:p w14:paraId="76D58242" w14:textId="77777777" w:rsidR="00F975B5" w:rsidRDefault="00F975B5" w:rsidP="00AA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E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BA2"/>
    <w:multiLevelType w:val="hybridMultilevel"/>
    <w:tmpl w:val="F1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017"/>
    <w:multiLevelType w:val="hybridMultilevel"/>
    <w:tmpl w:val="FEA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3B"/>
    <w:multiLevelType w:val="hybridMultilevel"/>
    <w:tmpl w:val="831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487"/>
    <w:multiLevelType w:val="hybridMultilevel"/>
    <w:tmpl w:val="455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7D5"/>
    <w:multiLevelType w:val="hybridMultilevel"/>
    <w:tmpl w:val="F4E6BD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272A7"/>
    <w:multiLevelType w:val="hybridMultilevel"/>
    <w:tmpl w:val="94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721D6"/>
    <w:multiLevelType w:val="hybridMultilevel"/>
    <w:tmpl w:val="A0C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6B2E"/>
    <w:multiLevelType w:val="hybridMultilevel"/>
    <w:tmpl w:val="57B4F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A43C7"/>
    <w:multiLevelType w:val="hybridMultilevel"/>
    <w:tmpl w:val="404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A72EA"/>
    <w:multiLevelType w:val="hybridMultilevel"/>
    <w:tmpl w:val="D1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767F"/>
    <w:multiLevelType w:val="hybridMultilevel"/>
    <w:tmpl w:val="5FA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7D5D"/>
    <w:multiLevelType w:val="hybridMultilevel"/>
    <w:tmpl w:val="72E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1ECF"/>
    <w:multiLevelType w:val="hybridMultilevel"/>
    <w:tmpl w:val="50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152A"/>
    <w:rsid w:val="00005944"/>
    <w:rsid w:val="00007EA5"/>
    <w:rsid w:val="00014373"/>
    <w:rsid w:val="0002014C"/>
    <w:rsid w:val="000E77C9"/>
    <w:rsid w:val="000F078A"/>
    <w:rsid w:val="00107FE3"/>
    <w:rsid w:val="0012075B"/>
    <w:rsid w:val="00130FF3"/>
    <w:rsid w:val="00194512"/>
    <w:rsid w:val="001E08C1"/>
    <w:rsid w:val="001F12C3"/>
    <w:rsid w:val="0023103F"/>
    <w:rsid w:val="00267672"/>
    <w:rsid w:val="0028065F"/>
    <w:rsid w:val="002C5991"/>
    <w:rsid w:val="00334448"/>
    <w:rsid w:val="0037266D"/>
    <w:rsid w:val="003A112A"/>
    <w:rsid w:val="004004EC"/>
    <w:rsid w:val="00446A4D"/>
    <w:rsid w:val="0045009E"/>
    <w:rsid w:val="004807CB"/>
    <w:rsid w:val="004F3EB8"/>
    <w:rsid w:val="00560837"/>
    <w:rsid w:val="00565D8B"/>
    <w:rsid w:val="00567776"/>
    <w:rsid w:val="005B5EFF"/>
    <w:rsid w:val="005E2788"/>
    <w:rsid w:val="005F32F5"/>
    <w:rsid w:val="006055BF"/>
    <w:rsid w:val="006438EA"/>
    <w:rsid w:val="006510B9"/>
    <w:rsid w:val="00655AB7"/>
    <w:rsid w:val="00673957"/>
    <w:rsid w:val="00680992"/>
    <w:rsid w:val="006A14CB"/>
    <w:rsid w:val="006B3111"/>
    <w:rsid w:val="007106B8"/>
    <w:rsid w:val="007358EC"/>
    <w:rsid w:val="0074451A"/>
    <w:rsid w:val="0078432A"/>
    <w:rsid w:val="007A1A7C"/>
    <w:rsid w:val="007B393B"/>
    <w:rsid w:val="007F42E1"/>
    <w:rsid w:val="00815497"/>
    <w:rsid w:val="00825D78"/>
    <w:rsid w:val="0089275A"/>
    <w:rsid w:val="008A315C"/>
    <w:rsid w:val="008C25C1"/>
    <w:rsid w:val="00917344"/>
    <w:rsid w:val="00956974"/>
    <w:rsid w:val="009617A9"/>
    <w:rsid w:val="009C5DFA"/>
    <w:rsid w:val="009D0DF8"/>
    <w:rsid w:val="00A57239"/>
    <w:rsid w:val="00A81B2A"/>
    <w:rsid w:val="00AA1ED7"/>
    <w:rsid w:val="00AE571D"/>
    <w:rsid w:val="00B32EB0"/>
    <w:rsid w:val="00B64AFE"/>
    <w:rsid w:val="00B96938"/>
    <w:rsid w:val="00BD35A3"/>
    <w:rsid w:val="00C40EF1"/>
    <w:rsid w:val="00C47184"/>
    <w:rsid w:val="00CC3B7D"/>
    <w:rsid w:val="00D205CD"/>
    <w:rsid w:val="00D94D2A"/>
    <w:rsid w:val="00DD0BE8"/>
    <w:rsid w:val="00DD16A6"/>
    <w:rsid w:val="00DD16EA"/>
    <w:rsid w:val="00DD45D7"/>
    <w:rsid w:val="00DF2D5D"/>
    <w:rsid w:val="00E00AC0"/>
    <w:rsid w:val="00E01106"/>
    <w:rsid w:val="00E35E2D"/>
    <w:rsid w:val="00E620FF"/>
    <w:rsid w:val="00E87A33"/>
    <w:rsid w:val="00EB5E50"/>
    <w:rsid w:val="00EE04D1"/>
    <w:rsid w:val="00F339F3"/>
    <w:rsid w:val="00F45265"/>
    <w:rsid w:val="00F5296E"/>
    <w:rsid w:val="00F759D0"/>
    <w:rsid w:val="00F975B5"/>
    <w:rsid w:val="00FE403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911"/>
  <w15:docId w15:val="{368D092A-E24B-4900-958A-7B7FD34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5E50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7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Schantz</dc:creator>
  <cp:lastModifiedBy>Karen Schantz</cp:lastModifiedBy>
  <cp:revision>2</cp:revision>
  <cp:lastPrinted>2014-12-18T15:30:00Z</cp:lastPrinted>
  <dcterms:created xsi:type="dcterms:W3CDTF">2021-04-23T16:37:00Z</dcterms:created>
  <dcterms:modified xsi:type="dcterms:W3CDTF">2021-04-23T16:37:00Z</dcterms:modified>
</cp:coreProperties>
</file>